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14CB" w14:textId="5294EFC9" w:rsidR="00C25BB8" w:rsidRPr="00C25BB8" w:rsidRDefault="00C25BB8" w:rsidP="00C25BB8">
      <w:pPr>
        <w:spacing w:after="0" w:line="240" w:lineRule="auto"/>
        <w:contextualSpacing/>
      </w:pPr>
      <w:r>
        <w:rPr>
          <w:b/>
          <w:bCs/>
        </w:rPr>
        <w:t xml:space="preserve">Gambling Manager Job Description </w:t>
      </w:r>
    </w:p>
    <w:p w14:paraId="6189A54F" w14:textId="77777777" w:rsidR="00C25BB8" w:rsidRPr="00C25BB8" w:rsidRDefault="00C25BB8" w:rsidP="00C25BB8">
      <w:pPr>
        <w:spacing w:after="0" w:line="240" w:lineRule="auto"/>
        <w:contextualSpacing/>
      </w:pPr>
      <w:r w:rsidRPr="00C25BB8">
        <w:pict w14:anchorId="060F422E">
          <v:rect id="_x0000_i1055" style="width:0;height:1.5pt" o:hralign="center" o:hrstd="t" o:hr="t" fillcolor="#a0a0a0" stroked="f"/>
        </w:pict>
      </w:r>
    </w:p>
    <w:p w14:paraId="7897A163" w14:textId="77777777" w:rsidR="00C25BB8" w:rsidRPr="00C25BB8" w:rsidRDefault="00C25BB8" w:rsidP="00C25BB8">
      <w:pPr>
        <w:spacing w:after="0" w:line="240" w:lineRule="auto"/>
        <w:contextualSpacing/>
        <w:rPr>
          <w:b/>
          <w:bCs/>
        </w:rPr>
      </w:pPr>
      <w:r w:rsidRPr="00C25BB8">
        <w:rPr>
          <w:b/>
          <w:bCs/>
        </w:rPr>
        <w:t>Position Summary:</w:t>
      </w:r>
    </w:p>
    <w:p w14:paraId="6C173D10" w14:textId="5A5BBFEE" w:rsidR="00C25BB8" w:rsidRPr="00C25BB8" w:rsidRDefault="00C25BB8" w:rsidP="00C25BB8">
      <w:pPr>
        <w:spacing w:after="0" w:line="240" w:lineRule="auto"/>
        <w:contextualSpacing/>
      </w:pPr>
      <w:r w:rsidRPr="00C25BB8">
        <w:t>The Gambling Manager is responsible for overseeing and managing all aspects of the organization</w:t>
      </w:r>
      <w:r>
        <w:t>’</w:t>
      </w:r>
      <w:r w:rsidRPr="00C25BB8">
        <w:t xml:space="preserve">s lawful gambling operations. This role ensures full compliance with applicable rules and licensing requirements while maintaining integrity and accountability in gambling activities. </w:t>
      </w:r>
    </w:p>
    <w:p w14:paraId="528E7071" w14:textId="77777777" w:rsidR="00C25BB8" w:rsidRPr="00C25BB8" w:rsidRDefault="00C25BB8" w:rsidP="00C25BB8">
      <w:pPr>
        <w:spacing w:after="0" w:line="240" w:lineRule="auto"/>
        <w:contextualSpacing/>
      </w:pPr>
      <w:r w:rsidRPr="00C25BB8">
        <w:pict w14:anchorId="126A9B1B">
          <v:rect id="_x0000_i1056" style="width:0;height:1.5pt" o:hralign="center" o:hrstd="t" o:hr="t" fillcolor="#a0a0a0" stroked="f"/>
        </w:pict>
      </w:r>
    </w:p>
    <w:p w14:paraId="3D7C92F7" w14:textId="77777777" w:rsidR="00C25BB8" w:rsidRPr="00C25BB8" w:rsidRDefault="00C25BB8" w:rsidP="00C25BB8">
      <w:pPr>
        <w:spacing w:after="0" w:line="240" w:lineRule="auto"/>
        <w:contextualSpacing/>
        <w:rPr>
          <w:b/>
          <w:bCs/>
        </w:rPr>
      </w:pPr>
      <w:r w:rsidRPr="00C25BB8">
        <w:rPr>
          <w:b/>
          <w:bCs/>
        </w:rPr>
        <w:t xml:space="preserve">Key </w:t>
      </w:r>
      <w:proofErr w:type="gramStart"/>
      <w:r w:rsidRPr="00C25BB8">
        <w:rPr>
          <w:b/>
          <w:bCs/>
        </w:rPr>
        <w:t>Responsibilities:</w:t>
      </w:r>
      <w:proofErr w:type="gramEnd"/>
    </w:p>
    <w:p w14:paraId="6F1EE77E" w14:textId="77777777" w:rsidR="00C25BB8" w:rsidRPr="00C25BB8" w:rsidRDefault="00C25BB8" w:rsidP="00C25BB8">
      <w:pPr>
        <w:numPr>
          <w:ilvl w:val="0"/>
          <w:numId w:val="1"/>
        </w:numPr>
        <w:spacing w:after="0" w:line="240" w:lineRule="auto"/>
        <w:contextualSpacing/>
      </w:pPr>
      <w:r w:rsidRPr="00C25BB8">
        <w:rPr>
          <w:b/>
          <w:bCs/>
        </w:rPr>
        <w:t>Personnel Management:</w:t>
      </w:r>
    </w:p>
    <w:p w14:paraId="0FA3BDD8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Hire, supervise, discipline, and, if necessary, terminate gambling employees, including any Assistant Gambling Manager.</w:t>
      </w:r>
    </w:p>
    <w:p w14:paraId="17B6BEB2" w14:textId="77777777" w:rsidR="00C25BB8" w:rsidRPr="00C25BB8" w:rsidRDefault="00C25BB8" w:rsidP="00C25BB8">
      <w:pPr>
        <w:numPr>
          <w:ilvl w:val="0"/>
          <w:numId w:val="1"/>
        </w:numPr>
        <w:spacing w:after="0" w:line="240" w:lineRule="auto"/>
        <w:contextualSpacing/>
      </w:pPr>
      <w:r w:rsidRPr="00C25BB8">
        <w:rPr>
          <w:b/>
          <w:bCs/>
        </w:rPr>
        <w:t>Game Oversight:</w:t>
      </w:r>
    </w:p>
    <w:p w14:paraId="58BE611E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Review and monitor the conduct of all gambling games to ensure fairness and compliance.</w:t>
      </w:r>
    </w:p>
    <w:p w14:paraId="1AA0AD6B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 xml:space="preserve">Determine the types of gambling products to </w:t>
      </w:r>
      <w:proofErr w:type="gramStart"/>
      <w:r w:rsidRPr="00C25BB8">
        <w:t>be purchased</w:t>
      </w:r>
      <w:proofErr w:type="gramEnd"/>
      <w:r w:rsidRPr="00C25BB8">
        <w:t xml:space="preserve"> and introduced into play.</w:t>
      </w:r>
    </w:p>
    <w:p w14:paraId="21299C78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Set policies regarding the timing and rotation of games in play.</w:t>
      </w:r>
    </w:p>
    <w:p w14:paraId="54645CB8" w14:textId="77777777" w:rsidR="00C25BB8" w:rsidRPr="00C25BB8" w:rsidRDefault="00C25BB8" w:rsidP="00C25BB8">
      <w:pPr>
        <w:numPr>
          <w:ilvl w:val="0"/>
          <w:numId w:val="1"/>
        </w:numPr>
        <w:spacing w:after="0" w:line="240" w:lineRule="auto"/>
        <w:contextualSpacing/>
      </w:pPr>
      <w:r w:rsidRPr="00C25BB8">
        <w:rPr>
          <w:b/>
          <w:bCs/>
        </w:rPr>
        <w:t>Financial Oversight:</w:t>
      </w:r>
    </w:p>
    <w:p w14:paraId="2945D05E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 xml:space="preserve">Ensure that all receipts and disbursements </w:t>
      </w:r>
      <w:proofErr w:type="gramStart"/>
      <w:r w:rsidRPr="00C25BB8">
        <w:t>are accurately accounted</w:t>
      </w:r>
      <w:proofErr w:type="gramEnd"/>
      <w:r w:rsidRPr="00C25BB8">
        <w:t xml:space="preserve"> for and fully compliant with relevant statutes and rules.</w:t>
      </w:r>
    </w:p>
    <w:p w14:paraId="76577199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Oversee monthly reconciliation of all inventory records.</w:t>
      </w:r>
    </w:p>
    <w:p w14:paraId="13ADF76A" w14:textId="77777777" w:rsidR="00C25BB8" w:rsidRPr="00C25BB8" w:rsidRDefault="00C25BB8" w:rsidP="00C25BB8">
      <w:pPr>
        <w:numPr>
          <w:ilvl w:val="0"/>
          <w:numId w:val="1"/>
        </w:numPr>
        <w:spacing w:after="0" w:line="240" w:lineRule="auto"/>
        <w:contextualSpacing/>
      </w:pPr>
      <w:r w:rsidRPr="00C25BB8">
        <w:rPr>
          <w:b/>
          <w:bCs/>
        </w:rPr>
        <w:t>Regulatory Compliance:</w:t>
      </w:r>
    </w:p>
    <w:p w14:paraId="13F968AA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Supervise and manage all licensing and reporting obligations.</w:t>
      </w:r>
    </w:p>
    <w:p w14:paraId="6230FC5A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File all required monthly and annual reports in a timely and accurate manner.</w:t>
      </w:r>
    </w:p>
    <w:p w14:paraId="0C4DE430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Ensure the organization is in full compliance with all laws and regulations governing lawful gambling activities.</w:t>
      </w:r>
    </w:p>
    <w:p w14:paraId="2337B099" w14:textId="77777777" w:rsidR="00C25BB8" w:rsidRPr="00C25BB8" w:rsidRDefault="00C25BB8" w:rsidP="00C25BB8">
      <w:pPr>
        <w:numPr>
          <w:ilvl w:val="1"/>
          <w:numId w:val="1"/>
        </w:numPr>
        <w:spacing w:after="0" w:line="240" w:lineRule="auto"/>
        <w:contextualSpacing/>
      </w:pPr>
      <w:r w:rsidRPr="00C25BB8">
        <w:t>Prevent any illegal gambling activities from occurring at permitted premises.</w:t>
      </w:r>
    </w:p>
    <w:p w14:paraId="2A7EA909" w14:textId="77777777" w:rsidR="00C25BB8" w:rsidRPr="00C25BB8" w:rsidRDefault="00C25BB8" w:rsidP="00C25BB8">
      <w:pPr>
        <w:numPr>
          <w:ilvl w:val="0"/>
          <w:numId w:val="1"/>
        </w:numPr>
        <w:spacing w:after="0" w:line="240" w:lineRule="auto"/>
        <w:contextualSpacing/>
      </w:pPr>
      <w:r w:rsidRPr="00C25BB8">
        <w:rPr>
          <w:b/>
          <w:bCs/>
        </w:rPr>
        <w:t>Organizational Participation:</w:t>
      </w:r>
    </w:p>
    <w:p w14:paraId="75DF51CB" w14:textId="77777777" w:rsidR="00C25BB8" w:rsidRDefault="00C25BB8" w:rsidP="00C25BB8">
      <w:pPr>
        <w:pStyle w:val="ListParagraph"/>
        <w:numPr>
          <w:ilvl w:val="0"/>
          <w:numId w:val="6"/>
        </w:numPr>
        <w:spacing w:after="0" w:line="240" w:lineRule="auto"/>
      </w:pPr>
      <w:r w:rsidRPr="00C25BB8">
        <w:t xml:space="preserve">Attend </w:t>
      </w:r>
      <w:r>
        <w:t xml:space="preserve">regular board meetings and provide monthly gambling </w:t>
      </w:r>
      <w:proofErr w:type="gramStart"/>
      <w:r>
        <w:t>report</w:t>
      </w:r>
      <w:proofErr w:type="gramEnd"/>
      <w:r w:rsidRPr="00C25BB8">
        <w:t xml:space="preserve"> to stay aligned with organizational goals and ensure transparency in gambling operations.</w:t>
      </w:r>
      <w:r w:rsidRPr="00C25BB8">
        <w:t xml:space="preserve"> </w:t>
      </w:r>
    </w:p>
    <w:p w14:paraId="66E4CB9D" w14:textId="06EE9BB3" w:rsidR="00C25BB8" w:rsidRDefault="00C25BB8" w:rsidP="00C25BB8">
      <w:pPr>
        <w:pStyle w:val="ListParagraph"/>
        <w:numPr>
          <w:ilvl w:val="0"/>
          <w:numId w:val="6"/>
        </w:numPr>
        <w:spacing w:after="0" w:line="240" w:lineRule="auto"/>
      </w:pPr>
      <w:r w:rsidRPr="00C25BB8">
        <w:t xml:space="preserve">The Gambling Manager </w:t>
      </w:r>
      <w:proofErr w:type="gramStart"/>
      <w:r w:rsidRPr="00C25BB8">
        <w:t>is required</w:t>
      </w:r>
      <w:proofErr w:type="gramEnd"/>
      <w:r w:rsidRPr="00C25BB8">
        <w:t xml:space="preserve"> to provide the Board with a written notice of resignation at least 120 days in advance of their intended departure date.</w:t>
      </w:r>
    </w:p>
    <w:p w14:paraId="582794BC" w14:textId="726424AB" w:rsidR="00C25BB8" w:rsidRPr="00C25BB8" w:rsidRDefault="00C25BB8" w:rsidP="00C25BB8">
      <w:pPr>
        <w:spacing w:after="0" w:line="240" w:lineRule="auto"/>
        <w:ind w:left="1080"/>
        <w:contextualSpacing/>
      </w:pPr>
    </w:p>
    <w:p w14:paraId="0181E1AB" w14:textId="77777777" w:rsidR="00C25BB8" w:rsidRPr="00C25BB8" w:rsidRDefault="00C25BB8" w:rsidP="00C25BB8">
      <w:pPr>
        <w:spacing w:after="0" w:line="240" w:lineRule="auto"/>
        <w:contextualSpacing/>
      </w:pPr>
      <w:r w:rsidRPr="00C25BB8">
        <w:pict w14:anchorId="1ECD1DB9">
          <v:rect id="_x0000_i1057" style="width:0;height:1.5pt" o:hralign="center" o:hrstd="t" o:hr="t" fillcolor="#a0a0a0" stroked="f"/>
        </w:pict>
      </w:r>
    </w:p>
    <w:p w14:paraId="6EBB09C7" w14:textId="77777777" w:rsidR="00C25BB8" w:rsidRPr="00C25BB8" w:rsidRDefault="00C25BB8" w:rsidP="00C25BB8">
      <w:pPr>
        <w:spacing w:after="0" w:line="240" w:lineRule="auto"/>
        <w:contextualSpacing/>
        <w:rPr>
          <w:b/>
          <w:bCs/>
        </w:rPr>
      </w:pPr>
      <w:r w:rsidRPr="00C25BB8">
        <w:rPr>
          <w:b/>
          <w:bCs/>
        </w:rPr>
        <w:t>Qualifications:</w:t>
      </w:r>
    </w:p>
    <w:p w14:paraId="0E14F192" w14:textId="77777777" w:rsidR="00C25BB8" w:rsidRPr="00C25BB8" w:rsidRDefault="00C25BB8" w:rsidP="00C25BB8">
      <w:pPr>
        <w:numPr>
          <w:ilvl w:val="0"/>
          <w:numId w:val="2"/>
        </w:numPr>
        <w:spacing w:after="0" w:line="240" w:lineRule="auto"/>
        <w:contextualSpacing/>
      </w:pPr>
      <w:r w:rsidRPr="00C25BB8">
        <w:t>Knowledge of state statutes and rules related to lawful gambling.</w:t>
      </w:r>
    </w:p>
    <w:p w14:paraId="54842017" w14:textId="77777777" w:rsidR="00C25BB8" w:rsidRPr="00C25BB8" w:rsidRDefault="00C25BB8" w:rsidP="00C25BB8">
      <w:pPr>
        <w:numPr>
          <w:ilvl w:val="0"/>
          <w:numId w:val="2"/>
        </w:numPr>
        <w:spacing w:after="0" w:line="240" w:lineRule="auto"/>
        <w:contextualSpacing/>
      </w:pPr>
      <w:r w:rsidRPr="00C25BB8">
        <w:t>Strong leadership, communication, and organizational skills.</w:t>
      </w:r>
    </w:p>
    <w:p w14:paraId="6BCFF914" w14:textId="77777777" w:rsidR="00C25BB8" w:rsidRPr="00C25BB8" w:rsidRDefault="00C25BB8" w:rsidP="00C25BB8">
      <w:pPr>
        <w:numPr>
          <w:ilvl w:val="0"/>
          <w:numId w:val="2"/>
        </w:numPr>
        <w:spacing w:after="0" w:line="240" w:lineRule="auto"/>
        <w:contextualSpacing/>
      </w:pPr>
      <w:r w:rsidRPr="00C25BB8">
        <w:t>Ability to manage financial and inventory records with precision.</w:t>
      </w:r>
    </w:p>
    <w:p w14:paraId="6537DD28" w14:textId="77777777" w:rsidR="00C25BB8" w:rsidRDefault="00C25BB8" w:rsidP="00C25BB8">
      <w:pPr>
        <w:numPr>
          <w:ilvl w:val="0"/>
          <w:numId w:val="3"/>
        </w:numPr>
        <w:spacing w:after="0" w:line="240" w:lineRule="auto"/>
        <w:contextualSpacing/>
      </w:pPr>
      <w:r w:rsidRPr="00C25BB8">
        <w:t>High ethical standards and a commitment to compliance and accountability.</w:t>
      </w:r>
    </w:p>
    <w:p w14:paraId="24937598" w14:textId="572F9F2F" w:rsidR="00C25BB8" w:rsidRPr="00C25BB8" w:rsidRDefault="00C25BB8" w:rsidP="00C25BB8">
      <w:pPr>
        <w:numPr>
          <w:ilvl w:val="0"/>
          <w:numId w:val="2"/>
        </w:numPr>
        <w:spacing w:after="0" w:line="240" w:lineRule="auto"/>
        <w:contextualSpacing/>
      </w:pPr>
      <w:r>
        <w:t xml:space="preserve">Ability to obtain and maintain </w:t>
      </w:r>
      <w:r w:rsidRPr="00C25BB8">
        <w:t>gambling</w:t>
      </w:r>
      <w:r>
        <w:t xml:space="preserve"> </w:t>
      </w:r>
      <w:proofErr w:type="gramStart"/>
      <w:r>
        <w:t>license</w:t>
      </w:r>
      <w:proofErr w:type="gramEnd"/>
      <w:r>
        <w:t xml:space="preserve"> </w:t>
      </w:r>
    </w:p>
    <w:p w14:paraId="6D7A6C5D" w14:textId="095406BE" w:rsidR="00C25BB8" w:rsidRDefault="00C25BB8" w:rsidP="00C25BB8">
      <w:pPr>
        <w:spacing w:after="0" w:line="240" w:lineRule="auto"/>
        <w:contextualSpacing/>
      </w:pPr>
      <w:r w:rsidRPr="00C25BB8">
        <w:pict w14:anchorId="3DF9FD8D">
          <v:rect id="_x0000_i1058" style="width:0;height:1.5pt" o:hralign="center" o:hrstd="t" o:hr="t" fillcolor="#a0a0a0" stroked="f"/>
        </w:pict>
      </w:r>
    </w:p>
    <w:sectPr w:rsidR="00C25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E29"/>
    <w:multiLevelType w:val="multilevel"/>
    <w:tmpl w:val="C196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66737"/>
    <w:multiLevelType w:val="multilevel"/>
    <w:tmpl w:val="D45E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A6525"/>
    <w:multiLevelType w:val="hybridMultilevel"/>
    <w:tmpl w:val="B6A2D4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CD7145"/>
    <w:multiLevelType w:val="hybridMultilevel"/>
    <w:tmpl w:val="66843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B65A42"/>
    <w:multiLevelType w:val="multilevel"/>
    <w:tmpl w:val="E4A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B4D74"/>
    <w:multiLevelType w:val="multilevel"/>
    <w:tmpl w:val="504C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050952">
    <w:abstractNumId w:val="1"/>
  </w:num>
  <w:num w:numId="2" w16cid:durableId="1489713255">
    <w:abstractNumId w:val="5"/>
  </w:num>
  <w:num w:numId="3" w16cid:durableId="1575048254">
    <w:abstractNumId w:val="4"/>
  </w:num>
  <w:num w:numId="4" w16cid:durableId="40444593">
    <w:abstractNumId w:val="0"/>
  </w:num>
  <w:num w:numId="5" w16cid:durableId="1172184504">
    <w:abstractNumId w:val="3"/>
  </w:num>
  <w:num w:numId="6" w16cid:durableId="44480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B8"/>
    <w:rsid w:val="001F2EC8"/>
    <w:rsid w:val="00726338"/>
    <w:rsid w:val="00810667"/>
    <w:rsid w:val="00C25BB8"/>
    <w:rsid w:val="00D60E82"/>
    <w:rsid w:val="00E17791"/>
    <w:rsid w:val="00F11A8D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3788"/>
  <w15:chartTrackingRefBased/>
  <w15:docId w15:val="{C8995F43-692F-4481-9B94-F77E16F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2025-08-21T01:19:00Z</dcterms:created>
  <dcterms:modified xsi:type="dcterms:W3CDTF">2025-08-21T01:28:00Z</dcterms:modified>
</cp:coreProperties>
</file>