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5D9" w:rsidRDefault="007A55D9" w14:paraId="09682DC0" w14:textId="77777777"/>
    <w:p w:rsidR="00943229" w:rsidP="000F7C7E" w:rsidRDefault="00943229" w14:paraId="6D5A3361" w14:textId="1A167160">
      <w:pPr>
        <w:jc w:val="center"/>
        <w:rPr>
          <w:b/>
          <w:bCs/>
          <w:sz w:val="36"/>
        </w:rPr>
      </w:pPr>
      <w:r w:rsidRPr="00943229">
        <w:rPr>
          <w:b/>
          <w:bCs/>
          <w:sz w:val="36"/>
        </w:rPr>
        <w:t>NWBA Bylaws Amendment Proposal Form</w:t>
      </w:r>
    </w:p>
    <w:p w:rsidRPr="00943229" w:rsidR="00943229" w:rsidP="000F7C7E" w:rsidRDefault="00943229" w14:paraId="6A082ED0" w14:textId="77777777">
      <w:pPr>
        <w:jc w:val="center"/>
        <w:rPr>
          <w:b/>
        </w:rPr>
      </w:pPr>
    </w:p>
    <w:p w:rsidRPr="00943229" w:rsidR="00943229" w:rsidP="000F7C7E" w:rsidRDefault="00943229" w14:paraId="6DCDA035" w14:textId="65C3436A">
      <w:pPr>
        <w:jc w:val="center"/>
        <w:rPr>
          <w:b/>
          <w:sz w:val="36"/>
        </w:rPr>
      </w:pPr>
      <w:r w:rsidRPr="00943229">
        <w:rPr>
          <w:rFonts w:eastAsia="Times New Roman" w:cs="Times New Roman"/>
          <w:b/>
          <w:color w:val="000000"/>
        </w:rPr>
        <w:t>Proposed Amendments must be submitted in writing to the Executive Director and the chair of the Governance Committee at least sixty (60) days preceding the Annual Assembly</w:t>
      </w:r>
      <w:r w:rsidR="008C6177">
        <w:rPr>
          <w:rFonts w:eastAsia="Times New Roman" w:cs="Times New Roman"/>
          <w:b/>
          <w:color w:val="000000"/>
        </w:rPr>
        <w:t xml:space="preserve"> (</w:t>
      </w:r>
      <w:r w:rsidR="008F22C9">
        <w:rPr>
          <w:rFonts w:eastAsia="Times New Roman" w:cs="Times New Roman"/>
          <w:b/>
          <w:color w:val="000000"/>
        </w:rPr>
        <w:t>Sunday</w:t>
      </w:r>
      <w:r w:rsidR="008C6177">
        <w:rPr>
          <w:rFonts w:eastAsia="Times New Roman" w:cs="Times New Roman"/>
          <w:b/>
          <w:color w:val="000000"/>
        </w:rPr>
        <w:t>, April 2</w:t>
      </w:r>
      <w:r w:rsidR="008F22C9">
        <w:rPr>
          <w:rFonts w:eastAsia="Times New Roman" w:cs="Times New Roman"/>
          <w:b/>
          <w:color w:val="000000"/>
        </w:rPr>
        <w:t>5</w:t>
      </w:r>
      <w:r w:rsidR="008C6177">
        <w:rPr>
          <w:rFonts w:eastAsia="Times New Roman" w:cs="Times New Roman"/>
          <w:b/>
          <w:color w:val="000000"/>
        </w:rPr>
        <w:t>, 2021)</w:t>
      </w:r>
      <w:r w:rsidRPr="00943229">
        <w:rPr>
          <w:rFonts w:eastAsia="Times New Roman" w:cs="Times New Roman"/>
          <w:b/>
          <w:color w:val="000000"/>
        </w:rPr>
        <w:t>.</w:t>
      </w:r>
    </w:p>
    <w:p w:rsidR="00EF09AA" w:rsidRDefault="00EF09AA" w14:paraId="7F7174A1" w14:textId="623229CE"/>
    <w:p w:rsidRPr="00C31B2B" w:rsidR="00C31B2B" w:rsidRDefault="00CB6623" w14:paraId="397AAD26" w14:textId="0BDCEEE9">
      <w:pPr>
        <w:rPr>
          <w:b/>
          <w:bCs/>
        </w:rPr>
      </w:pPr>
      <w:r>
        <w:rPr>
          <w:b/>
          <w:bCs/>
        </w:rPr>
        <w:t>ARTICLE EIGHTEEN</w:t>
      </w:r>
      <w:r w:rsidR="00900885">
        <w:t xml:space="preserve"> </w:t>
      </w:r>
      <w:r>
        <w:t>Policies</w:t>
      </w:r>
    </w:p>
    <w:p w:rsidRPr="00C31B2B" w:rsidR="00C31B2B" w:rsidRDefault="00C31B2B" w14:paraId="4F3CF74D" w14:textId="70E818D1">
      <w:pPr>
        <w:rPr>
          <w:b/>
          <w:bCs/>
        </w:rPr>
      </w:pPr>
    </w:p>
    <w:p w:rsidRPr="00C31B2B" w:rsidR="00C31B2B" w:rsidRDefault="00C31B2B" w14:paraId="130CED95" w14:textId="4207CBE5">
      <w:pPr>
        <w:rPr>
          <w:b/>
          <w:bCs/>
        </w:rPr>
      </w:pPr>
      <w:r w:rsidRPr="614F7461">
        <w:rPr>
          <w:b/>
          <w:bCs/>
        </w:rPr>
        <w:t>Proposed By:</w:t>
      </w:r>
      <w:r w:rsidRPr="614F7461" w:rsidR="00900885">
        <w:rPr>
          <w:b/>
          <w:bCs/>
        </w:rPr>
        <w:t xml:space="preserve"> </w:t>
      </w:r>
      <w:r w:rsidR="517576AD">
        <w:t>NWBA Management/Staff</w:t>
      </w:r>
    </w:p>
    <w:p w:rsidRPr="00C31B2B" w:rsidR="00C31B2B" w:rsidRDefault="00C31B2B" w14:paraId="6142C4DD" w14:textId="59872DD9">
      <w:pPr>
        <w:rPr>
          <w:b/>
          <w:bCs/>
        </w:rPr>
      </w:pPr>
    </w:p>
    <w:p w:rsidRPr="00900885" w:rsidR="00900885" w:rsidP="00900885" w:rsidRDefault="00C31B2B" w14:paraId="3A3497D4" w14:textId="6FA0C33B">
      <w:r w:rsidRPr="39657B0C" w:rsidR="00C31B2B">
        <w:rPr>
          <w:b w:val="1"/>
          <w:bCs w:val="1"/>
        </w:rPr>
        <w:t>Summary of Proposed Change:</w:t>
      </w:r>
      <w:r w:rsidRPr="39657B0C" w:rsidR="00900885">
        <w:rPr>
          <w:b w:val="1"/>
          <w:bCs w:val="1"/>
        </w:rPr>
        <w:t xml:space="preserve"> </w:t>
      </w:r>
      <w:r w:rsidR="2E417256">
        <w:rPr/>
        <w:t xml:space="preserve">Update </w:t>
      </w:r>
      <w:r w:rsidR="7C5B80D2">
        <w:rPr/>
        <w:t xml:space="preserve">NWBA </w:t>
      </w:r>
      <w:r w:rsidR="2E417256">
        <w:rPr/>
        <w:t xml:space="preserve">Bylaws to </w:t>
      </w:r>
      <w:r w:rsidR="00CB6623">
        <w:rPr/>
        <w:t xml:space="preserve">document a set of policies that are mandatory. This amendment updates the language on existing required policies and expands the list of required policies to include Gifts and Entertainment and Athlete </w:t>
      </w:r>
      <w:r w:rsidR="00CB6623">
        <w:rPr/>
        <w:t xml:space="preserve">Safety. </w:t>
      </w:r>
    </w:p>
    <w:p w:rsidR="614F7461" w:rsidP="614F7461" w:rsidRDefault="614F7461" w14:paraId="519B148B" w14:textId="52098E17"/>
    <w:p w:rsidRPr="000F7C7E" w:rsidR="000F7C7E" w:rsidP="724F9D1B" w:rsidRDefault="000F7C7E" w14:paraId="11D89968" w14:textId="4C66CD36">
      <w:pPr>
        <w:rPr>
          <w:b/>
          <w:bCs/>
        </w:rPr>
      </w:pPr>
      <w:r w:rsidRPr="724F9D1B">
        <w:rPr>
          <w:b/>
          <w:bCs/>
        </w:rPr>
        <w:t xml:space="preserve">Current Bylaw: </w:t>
      </w:r>
      <w:r w:rsidR="00900885">
        <w:t xml:space="preserve">Current wording is included in the proposal </w:t>
      </w:r>
      <w:r w:rsidR="7D5C9B2C">
        <w:t>section</w:t>
      </w:r>
      <w:r w:rsidR="00900885">
        <w:t xml:space="preserve"> below.</w:t>
      </w:r>
    </w:p>
    <w:p w:rsidR="000F7C7E" w:rsidRDefault="000F7C7E" w14:paraId="3D81DE1C" w14:textId="77777777"/>
    <w:p w:rsidRPr="000F7C7E" w:rsidR="000F7C7E" w:rsidP="30D0977F" w:rsidRDefault="000F7C7E" w14:paraId="4127827C" w14:textId="29111221">
      <w:pPr>
        <w:rPr>
          <w:b/>
          <w:bCs/>
        </w:rPr>
      </w:pPr>
      <w:r w:rsidRPr="39657B0C" w:rsidR="000F7C7E">
        <w:rPr>
          <w:b w:val="1"/>
          <w:bCs w:val="1"/>
        </w:rPr>
        <w:t>Proposed Bylaw</w:t>
      </w:r>
      <w:r w:rsidRPr="39657B0C" w:rsidR="00900885">
        <w:rPr>
          <w:b w:val="1"/>
          <w:bCs w:val="1"/>
        </w:rPr>
        <w:t xml:space="preserve">: </w:t>
      </w:r>
      <w:r w:rsidR="6F6D5930">
        <w:rPr/>
        <w:t>Proposed c</w:t>
      </w:r>
      <w:r w:rsidR="00900885">
        <w:rPr/>
        <w:t xml:space="preserve">hanges are marked </w:t>
      </w:r>
      <w:r w:rsidR="2E1E2C30">
        <w:rPr/>
        <w:t xml:space="preserve">below with the track </w:t>
      </w:r>
      <w:proofErr w:type="gramStart"/>
      <w:r w:rsidR="2E1E2C30">
        <w:rPr/>
        <w:t>changes</w:t>
      </w:r>
      <w:proofErr w:type="gramEnd"/>
      <w:r w:rsidR="2E1E2C30">
        <w:rPr/>
        <w:t xml:space="preserve"> function</w:t>
      </w:r>
      <w:r w:rsidR="1402CBFA">
        <w:rPr/>
        <w:t xml:space="preserve"> </w:t>
      </w:r>
      <w:r w:rsidRPr="39657B0C" w:rsidR="1402CBFA">
        <w:rPr>
          <w:rFonts w:ascii="Calibri" w:hAnsi="Calibri" w:eastAsia="Calibri" w:cs="Calibri"/>
          <w:color w:val="000000" w:themeColor="text1" w:themeTint="FF" w:themeShade="FF"/>
        </w:rPr>
        <w:t>(deletions have a strikethrough and additions are underlined)</w:t>
      </w:r>
      <w:r w:rsidR="00900885">
        <w:rPr/>
        <w:t>.</w:t>
      </w:r>
    </w:p>
    <w:p w:rsidRPr="00993524" w:rsidR="00A65E75" w:rsidP="39657B0C" w:rsidRDefault="00A65E75" w14:paraId="4A8D3698" w14:textId="5D93F3C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E3008C"/>
          <w:sz w:val="24"/>
          <w:szCs w:val="24"/>
          <w:lang w:val="en-US"/>
        </w:rPr>
      </w:pPr>
    </w:p>
    <w:p w:rsidRPr="00993524" w:rsidR="00A65E75" w:rsidP="39657B0C" w:rsidRDefault="00A65E75" w14:paraId="2097166E" w14:textId="18DBA16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9657B0C" w:rsidR="5D49AAD9">
        <w:rPr>
          <w:rFonts w:ascii="Times New Roman" w:hAnsi="Times New Roman" w:eastAsia="Times New Roman" w:cs="Times New Roman"/>
          <w:b w:val="1"/>
          <w:bCs w:val="1"/>
          <w:strike w:val="1"/>
          <w:noProof w:val="0"/>
          <w:color w:val="E3008C"/>
          <w:sz w:val="24"/>
          <w:szCs w:val="24"/>
          <w:lang w:val="en-US"/>
        </w:rPr>
        <w:t xml:space="preserve">Code of </w:t>
      </w:r>
      <w:proofErr w:type="spellStart"/>
      <w:r w:rsidRPr="39657B0C" w:rsidR="5D49AAD9">
        <w:rPr>
          <w:rFonts w:ascii="Times New Roman" w:hAnsi="Times New Roman" w:eastAsia="Times New Roman" w:cs="Times New Roman"/>
          <w:b w:val="1"/>
          <w:bCs w:val="1"/>
          <w:strike w:val="1"/>
          <w:noProof w:val="0"/>
          <w:color w:val="E3008C"/>
          <w:sz w:val="24"/>
          <w:szCs w:val="24"/>
          <w:lang w:val="en-US"/>
        </w:rPr>
        <w:t>Ethics</w:t>
      </w:r>
      <w:r w:rsidRPr="39657B0C" w:rsidR="5D49AAD9">
        <w:rPr>
          <w:rFonts w:ascii="Times New Roman" w:hAnsi="Times New Roman" w:eastAsia="Times New Roman" w:cs="Times New Roman"/>
          <w:b w:val="1"/>
          <w:bCs w:val="1"/>
          <w:noProof w:val="0"/>
          <w:color w:val="E3008C"/>
          <w:sz w:val="24"/>
          <w:szCs w:val="24"/>
          <w:lang w:val="en-US"/>
        </w:rPr>
        <w:t>Policies</w:t>
      </w:r>
      <w:proofErr w:type="spellEnd"/>
    </w:p>
    <w:p w:rsidRPr="00993524" w:rsidR="00A65E75" w:rsidP="39657B0C" w:rsidRDefault="00A65E75" w14:paraId="3584B6E8" w14:textId="7202266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Pr="00993524" w:rsidR="00A65E75" w:rsidP="39657B0C" w:rsidRDefault="00A65E75" w14:paraId="33FADD77" w14:textId="1A81FEE2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9657B0C" w:rsidR="5D49AAD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en-US"/>
        </w:rPr>
        <w:t xml:space="preserve">Section 18.1: </w:t>
      </w:r>
      <w:r w:rsidRPr="39657B0C" w:rsidR="5D49AAD9">
        <w:rPr>
          <w:rFonts w:ascii="Times New Roman" w:hAnsi="Times New Roman" w:eastAsia="Times New Roman" w:cs="Times New Roman"/>
          <w:b w:val="1"/>
          <w:bCs w:val="1"/>
          <w:strike w:val="1"/>
          <w:noProof w:val="0"/>
          <w:color w:val="E3008C"/>
          <w:sz w:val="24"/>
          <w:szCs w:val="24"/>
          <w:u w:val="none"/>
          <w:lang w:val="en-US"/>
        </w:rPr>
        <w:t>Code of Ethics</w:t>
      </w:r>
      <w:r w:rsidRPr="39657B0C" w:rsidR="5D49AAD9">
        <w:rPr>
          <w:rFonts w:ascii="Times New Roman" w:hAnsi="Times New Roman" w:eastAsia="Times New Roman" w:cs="Times New Roman"/>
          <w:b w:val="1"/>
          <w:bCs w:val="1"/>
          <w:noProof w:val="0"/>
          <w:color w:val="E3008C"/>
          <w:sz w:val="24"/>
          <w:szCs w:val="24"/>
          <w:lang w:val="en-US"/>
        </w:rPr>
        <w:t>Policies</w:t>
      </w:r>
      <w:r w:rsidRPr="39657B0C" w:rsidR="5D49AAD9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en-US"/>
        </w:rPr>
        <w:t>.</w:t>
      </w:r>
    </w:p>
    <w:p w:rsidR="00CB6623" w:rsidP="00CB6623" w:rsidRDefault="00CB6623" w14:paraId="0736FB64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NWBA shall</w:t>
      </w:r>
      <w:r>
        <w:rPr>
          <w:rStyle w:val="apple-converted-space"/>
        </w:rPr>
        <w:t> </w:t>
      </w:r>
      <w:r>
        <w:rPr>
          <w:rStyle w:val="normaltextrun"/>
          <w:color w:val="E3008C"/>
          <w:u w:val="single"/>
        </w:rPr>
        <w:t>adopt and</w:t>
      </w:r>
      <w:r>
        <w:rPr>
          <w:rStyle w:val="apple-converted-space"/>
          <w:color w:val="E3008C"/>
        </w:rPr>
        <w:t> </w:t>
      </w:r>
      <w:r>
        <w:rPr>
          <w:rStyle w:val="normaltextrun"/>
        </w:rPr>
        <w:t>maintain</w:t>
      </w:r>
      <w:r>
        <w:rPr>
          <w:rStyle w:val="apple-converted-space"/>
        </w:rPr>
        <w:t> </w:t>
      </w:r>
      <w:r>
        <w:rPr>
          <w:rStyle w:val="normaltextrun"/>
          <w:color w:val="E3008C"/>
          <w:u w:val="single"/>
        </w:rPr>
        <w:t>relevant policies to effectively run and govern the organization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which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include but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are not limited to: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Gifts &amp; Entertainment Policy,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Conflicts of Interest Policy,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Code of Conduct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with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common principles of ethics,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Athlete Safety Policy,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and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Grievance</w:t>
      </w:r>
      <w:r>
        <w:rPr>
          <w:rStyle w:val="apple-converted-space"/>
          <w:color w:val="E3008C"/>
        </w:rPr>
        <w:t> </w:t>
      </w:r>
      <w:r>
        <w:rPr>
          <w:rStyle w:val="normaltextrun"/>
          <w:color w:val="E3008C"/>
          <w:u w:val="single"/>
        </w:rPr>
        <w:t>Procedures.</w:t>
      </w:r>
      <w:r>
        <w:rPr>
          <w:rStyle w:val="eop"/>
        </w:rPr>
        <w:t> </w:t>
      </w:r>
    </w:p>
    <w:p w:rsidR="00CB6623" w:rsidP="00CB6623" w:rsidRDefault="00CB6623" w14:paraId="6356CF4B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E3008C"/>
          <w:u w:val="single"/>
        </w:rPr>
        <w:t>.</w:t>
      </w:r>
      <w:r>
        <w:rPr>
          <w:rStyle w:val="normaltextrun"/>
          <w:strike/>
          <w:color w:val="E3008C"/>
        </w:rPr>
        <w:t>a</w:t>
      </w:r>
      <w:proofErr w:type="gramEnd"/>
      <w:r>
        <w:rPr>
          <w:rStyle w:val="normaltextrun"/>
          <w:strike/>
          <w:color w:val="E3008C"/>
        </w:rPr>
        <w:t xml:space="preserve"> Code of Ethics and an Ethics and Conflicts of Interest</w:t>
      </w:r>
      <w:r>
        <w:rPr>
          <w:rStyle w:val="apple-converted-space"/>
          <w:strike/>
          <w:color w:val="E3008C"/>
        </w:rPr>
        <w:t> </w:t>
      </w:r>
      <w:r>
        <w:rPr>
          <w:rStyle w:val="normaltextrun"/>
          <w:strike/>
          <w:color w:val="E3008C"/>
        </w:rPr>
        <w:t xml:space="preserve">Policy (the “Code”) applicable to all NWBA, employees, Board Directors, committee members, and volunteers. The Code shall be approved by the USOC, if </w:t>
      </w:r>
      <w:proofErr w:type="gramStart"/>
      <w:r>
        <w:rPr>
          <w:rStyle w:val="normaltextrun"/>
          <w:strike/>
          <w:color w:val="E3008C"/>
        </w:rPr>
        <w:t>necessary</w:t>
      </w:r>
      <w:proofErr w:type="gramEnd"/>
      <w:r>
        <w:rPr>
          <w:rStyle w:val="normaltextrun"/>
          <w:strike/>
          <w:color w:val="E3008C"/>
        </w:rPr>
        <w:t xml:space="preserve"> for NGB determination. Each NWBA employee and volunteer shall annually certify compliance with the Code.</w:t>
      </w:r>
      <w:r>
        <w:rPr>
          <w:rStyle w:val="eop"/>
        </w:rPr>
        <w:t> </w:t>
      </w:r>
    </w:p>
    <w:p w:rsidR="00900885" w:rsidRDefault="00900885" w14:paraId="2AA9F6F5" w14:textId="77777777"/>
    <w:p w:rsidR="000F7C7E" w:rsidRDefault="000F7C7E" w14:paraId="4C37DC62" w14:textId="77777777"/>
    <w:p w:rsidR="410002A4" w:rsidP="39657B0C" w:rsidRDefault="00CB6623" w14:paraId="4A98001F" w14:textId="05AA212D">
      <w:pPr/>
      <w:r w:rsidRPr="39657B0C" w:rsidR="000F7C7E">
        <w:rPr>
          <w:b w:val="1"/>
          <w:bCs w:val="1"/>
        </w:rPr>
        <w:t xml:space="preserve">Rationale for </w:t>
      </w:r>
      <w:r w:rsidRPr="39657B0C" w:rsidR="00900885">
        <w:rPr>
          <w:b w:val="1"/>
          <w:bCs w:val="1"/>
        </w:rPr>
        <w:t>C</w:t>
      </w:r>
      <w:r w:rsidRPr="39657B0C" w:rsidR="000F7C7E">
        <w:rPr>
          <w:b w:val="1"/>
          <w:bCs w:val="1"/>
        </w:rPr>
        <w:t xml:space="preserve">hange: </w:t>
      </w:r>
      <w:r w:rsidR="00CB6623">
        <w:rPr/>
        <w:t xml:space="preserve">The changes will help reinforce the culture of safety that we have been intentionally driving as an </w:t>
      </w:r>
      <w:r w:rsidR="00CB6623">
        <w:rPr/>
        <w:t>organization, and</w:t>
      </w:r>
      <w:r w:rsidR="00CB6623">
        <w:rPr/>
        <w:t xml:space="preserve"> will also help continue to increase the professionalism of the NWBA.</w:t>
      </w:r>
      <w:proofErr w:type="gramStart"/>
      <w:proofErr w:type="gramEnd"/>
    </w:p>
    <w:p w:rsidR="000F7C7E" w:rsidRDefault="000F7C7E" w14:paraId="427A5035" w14:textId="77777777"/>
    <w:p w:rsidR="000F7C7E" w:rsidRDefault="000F7C7E" w14:paraId="36F5B819" w14:textId="77777777"/>
    <w:p w:rsidRPr="000F7C7E" w:rsidR="000F7C7E" w:rsidRDefault="000F7C7E" w14:paraId="0BA46DA1" w14:textId="77777777">
      <w:pPr>
        <w:rPr>
          <w:b/>
        </w:rPr>
      </w:pPr>
      <w:r w:rsidRPr="000F7C7E">
        <w:rPr>
          <w:b/>
        </w:rPr>
        <w:t xml:space="preserve">Submit to: </w:t>
      </w:r>
    </w:p>
    <w:p w:rsidR="00943229" w:rsidP="00943229" w:rsidRDefault="00943229" w14:paraId="71BB6E4F" w14:textId="2C2BC1C2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Email</w:t>
      </w:r>
      <w:r w:rsidR="008F22C9">
        <w:rPr>
          <w:rFonts w:eastAsia="Times New Roman" w:cs="Times New Roman"/>
          <w:bCs/>
          <w:color w:val="000000"/>
          <w:u w:val="single"/>
        </w:rPr>
        <w:t xml:space="preserve"> to both</w:t>
      </w:r>
      <w:r>
        <w:rPr>
          <w:rFonts w:eastAsia="Times New Roman" w:cs="Times New Roman"/>
          <w:bCs/>
          <w:color w:val="000000"/>
        </w:rPr>
        <w:t>:</w:t>
      </w:r>
    </w:p>
    <w:p w:rsidRPr="00943229" w:rsidR="00943229" w:rsidP="00943229" w:rsidRDefault="00943229" w14:paraId="56DE507C" w14:textId="0861A77D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Will Waller</w:t>
      </w:r>
      <w:r w:rsidR="008F22C9">
        <w:rPr>
          <w:rFonts w:eastAsia="Times New Roman" w:cs="Times New Roman"/>
          <w:bCs/>
          <w:color w:val="000000"/>
        </w:rPr>
        <w:t>, NWBA Executive Director</w:t>
      </w:r>
      <w:r>
        <w:rPr>
          <w:rFonts w:eastAsia="Times New Roman" w:cs="Times New Roman"/>
          <w:bCs/>
          <w:color w:val="000000"/>
        </w:rPr>
        <w:t xml:space="preserve">: </w:t>
      </w:r>
      <w:hyperlink w:history="1" r:id="rId10">
        <w:r w:rsidRPr="0010390D">
          <w:rPr>
            <w:rStyle w:val="Hyperlink"/>
            <w:rFonts w:eastAsia="Times New Roman" w:cs="Times New Roman"/>
            <w:bCs/>
          </w:rPr>
          <w:t>will@nwba.org</w:t>
        </w:r>
      </w:hyperlink>
      <w:r>
        <w:rPr>
          <w:rFonts w:eastAsia="Times New Roman" w:cs="Times New Roman"/>
          <w:bCs/>
          <w:color w:val="000000"/>
        </w:rPr>
        <w:t xml:space="preserve"> AND </w:t>
      </w:r>
      <w:r w:rsidR="008F22C9">
        <w:rPr>
          <w:rFonts w:eastAsia="Times New Roman" w:cs="Times New Roman"/>
          <w:bCs/>
          <w:color w:val="000000"/>
        </w:rPr>
        <w:t xml:space="preserve">Tim Fox, interim </w:t>
      </w:r>
      <w:r>
        <w:rPr>
          <w:rFonts w:eastAsia="Times New Roman" w:cs="Times New Roman"/>
          <w:bCs/>
          <w:color w:val="000000"/>
        </w:rPr>
        <w:t xml:space="preserve">Chair of the Governance Committee: </w:t>
      </w:r>
      <w:hyperlink w:history="1" r:id="rId11">
        <w:r w:rsidRPr="0010390D">
          <w:rPr>
            <w:rStyle w:val="Hyperlink"/>
            <w:rFonts w:eastAsia="Times New Roman" w:cs="Times New Roman"/>
            <w:bCs/>
          </w:rPr>
          <w:t>timfox@nwba.org</w:t>
        </w:r>
      </w:hyperlink>
    </w:p>
    <w:p w:rsidR="00943229" w:rsidP="00577302" w:rsidRDefault="00943229" w14:paraId="6D49B9DC" w14:textId="77777777">
      <w:pPr>
        <w:rPr>
          <w:rFonts w:eastAsia="Times New Roman" w:cs="Times New Roman"/>
          <w:bCs/>
          <w:color w:val="000000"/>
        </w:rPr>
      </w:pPr>
    </w:p>
    <w:p w:rsidR="00943229" w:rsidP="00577302" w:rsidRDefault="00943229" w14:paraId="1C56F842" w14:textId="39618575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OR</w:t>
      </w:r>
    </w:p>
    <w:p w:rsidR="00943229" w:rsidP="00577302" w:rsidRDefault="00943229" w14:paraId="0EB05189" w14:textId="77777777">
      <w:pPr>
        <w:rPr>
          <w:rFonts w:eastAsia="Times New Roman" w:cs="Times New Roman"/>
          <w:bCs/>
          <w:color w:val="000000"/>
          <w:u w:val="single"/>
        </w:rPr>
      </w:pPr>
    </w:p>
    <w:p w:rsidR="00943229" w:rsidP="00577302" w:rsidRDefault="00943229" w14:paraId="33ABA53E" w14:textId="406C1D64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Postal Mail</w:t>
      </w:r>
      <w:r>
        <w:rPr>
          <w:rFonts w:eastAsia="Times New Roman" w:cs="Times New Roman"/>
          <w:bCs/>
          <w:color w:val="000000"/>
        </w:rPr>
        <w:t>:</w:t>
      </w:r>
    </w:p>
    <w:p w:rsidR="003522A5" w:rsidP="00577302" w:rsidRDefault="00577302" w14:paraId="5D4D1582" w14:textId="6DA6D0F8">
      <w:r w:rsidRPr="00577302">
        <w:rPr>
          <w:rFonts w:eastAsia="Times New Roman" w:cs="Times New Roman"/>
          <w:bCs/>
          <w:color w:val="000000"/>
        </w:rPr>
        <w:t>NWBA, 1130 Elkton Dr., Suite A, Colorado Springs, CO 80907</w:t>
      </w:r>
    </w:p>
    <w:sectPr w:rsidR="003522A5" w:rsidSect="00C24404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70C" w:rsidP="00EF09AA" w:rsidRDefault="0099170C" w14:paraId="1BC58A88" w14:textId="77777777">
      <w:r>
        <w:separator/>
      </w:r>
    </w:p>
  </w:endnote>
  <w:endnote w:type="continuationSeparator" w:id="0">
    <w:p w:rsidR="0099170C" w:rsidP="00EF09AA" w:rsidRDefault="0099170C" w14:paraId="7ACFE6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70C" w:rsidP="00EF09AA" w:rsidRDefault="0099170C" w14:paraId="66921C45" w14:textId="77777777">
      <w:r>
        <w:separator/>
      </w:r>
    </w:p>
  </w:footnote>
  <w:footnote w:type="continuationSeparator" w:id="0">
    <w:p w:rsidR="0099170C" w:rsidP="00EF09AA" w:rsidRDefault="0099170C" w14:paraId="2FEC18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F09AA" w:rsidP="00943229" w:rsidRDefault="30D0977F" w14:paraId="61302A53" w14:textId="77777777">
    <w:pPr>
      <w:pStyle w:val="Header"/>
      <w:jc w:val="center"/>
    </w:pPr>
    <w:r w:rsidR="39657B0C">
      <w:drawing>
        <wp:inline wp14:editId="42B1C397" wp14:anchorId="6002E27B">
          <wp:extent cx="3643820" cy="918742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ee86bd5983a40d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643820" cy="91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aIssvxWjCjf1r" id="e4Fdd2+P"/>
  </int:Manifest>
  <int:Observations>
    <int:Content id="e4Fdd2+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D63408A"/>
    <w:multiLevelType w:val="hybridMultilevel"/>
    <w:tmpl w:val="424E3438"/>
    <w:lvl w:ilvl="0" w:tplc="A6662E38">
      <w:start w:val="1"/>
      <w:numFmt w:val="decimal"/>
      <w:lvlText w:val="%1."/>
      <w:lvlJc w:val="left"/>
      <w:pPr>
        <w:ind w:left="720" w:hanging="360"/>
      </w:pPr>
    </w:lvl>
    <w:lvl w:ilvl="1" w:tplc="9880F110">
      <w:start w:val="1"/>
      <w:numFmt w:val="lowerLetter"/>
      <w:lvlText w:val="%2."/>
      <w:lvlJc w:val="left"/>
      <w:pPr>
        <w:ind w:left="1440" w:hanging="360"/>
      </w:pPr>
    </w:lvl>
    <w:lvl w:ilvl="2" w:tplc="B77229F2">
      <w:start w:val="1"/>
      <w:numFmt w:val="lowerRoman"/>
      <w:lvlText w:val="%3."/>
      <w:lvlJc w:val="right"/>
      <w:pPr>
        <w:ind w:left="2160" w:hanging="180"/>
      </w:pPr>
    </w:lvl>
    <w:lvl w:ilvl="3" w:tplc="B0EE3296">
      <w:start w:val="1"/>
      <w:numFmt w:val="decimal"/>
      <w:lvlText w:val="%4."/>
      <w:lvlJc w:val="left"/>
      <w:pPr>
        <w:ind w:left="2880" w:hanging="360"/>
      </w:pPr>
    </w:lvl>
    <w:lvl w:ilvl="4" w:tplc="EB9C4F48">
      <w:start w:val="1"/>
      <w:numFmt w:val="lowerLetter"/>
      <w:lvlText w:val="%5."/>
      <w:lvlJc w:val="left"/>
      <w:pPr>
        <w:ind w:left="3600" w:hanging="360"/>
      </w:pPr>
    </w:lvl>
    <w:lvl w:ilvl="5" w:tplc="00787692">
      <w:start w:val="1"/>
      <w:numFmt w:val="lowerRoman"/>
      <w:lvlText w:val="%6."/>
      <w:lvlJc w:val="right"/>
      <w:pPr>
        <w:ind w:left="4320" w:hanging="180"/>
      </w:pPr>
    </w:lvl>
    <w:lvl w:ilvl="6" w:tplc="5900CD96">
      <w:start w:val="1"/>
      <w:numFmt w:val="decimal"/>
      <w:lvlText w:val="%7."/>
      <w:lvlJc w:val="left"/>
      <w:pPr>
        <w:ind w:left="5040" w:hanging="360"/>
      </w:pPr>
    </w:lvl>
    <w:lvl w:ilvl="7" w:tplc="9CC2620C">
      <w:start w:val="1"/>
      <w:numFmt w:val="lowerLetter"/>
      <w:lvlText w:val="%8."/>
      <w:lvlJc w:val="left"/>
      <w:pPr>
        <w:ind w:left="5760" w:hanging="360"/>
      </w:pPr>
    </w:lvl>
    <w:lvl w:ilvl="8" w:tplc="E96C85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E1589"/>
    <w:rsid w:val="000F7C7E"/>
    <w:rsid w:val="00100677"/>
    <w:rsid w:val="00123C86"/>
    <w:rsid w:val="001626BD"/>
    <w:rsid w:val="001851A8"/>
    <w:rsid w:val="00274DA5"/>
    <w:rsid w:val="003522A5"/>
    <w:rsid w:val="00373E81"/>
    <w:rsid w:val="00406B99"/>
    <w:rsid w:val="00577302"/>
    <w:rsid w:val="005E1BB6"/>
    <w:rsid w:val="006255C1"/>
    <w:rsid w:val="006524CA"/>
    <w:rsid w:val="007A55D9"/>
    <w:rsid w:val="007F52A8"/>
    <w:rsid w:val="0087429D"/>
    <w:rsid w:val="008C6177"/>
    <w:rsid w:val="008F22C9"/>
    <w:rsid w:val="00900885"/>
    <w:rsid w:val="00943229"/>
    <w:rsid w:val="0099170C"/>
    <w:rsid w:val="00A51BD5"/>
    <w:rsid w:val="00A65E75"/>
    <w:rsid w:val="00A95407"/>
    <w:rsid w:val="00B40373"/>
    <w:rsid w:val="00C171C6"/>
    <w:rsid w:val="00C24404"/>
    <w:rsid w:val="00C31B2B"/>
    <w:rsid w:val="00C42BA3"/>
    <w:rsid w:val="00C81CF0"/>
    <w:rsid w:val="00CB6623"/>
    <w:rsid w:val="00D82AD6"/>
    <w:rsid w:val="00DB4BF0"/>
    <w:rsid w:val="00DE4DC2"/>
    <w:rsid w:val="00E5383D"/>
    <w:rsid w:val="00EF09AA"/>
    <w:rsid w:val="0275806F"/>
    <w:rsid w:val="02CA2238"/>
    <w:rsid w:val="061B939C"/>
    <w:rsid w:val="077FAD9A"/>
    <w:rsid w:val="0819031B"/>
    <w:rsid w:val="085D1BDB"/>
    <w:rsid w:val="091B7DFB"/>
    <w:rsid w:val="0A0F72C4"/>
    <w:rsid w:val="0B5A5239"/>
    <w:rsid w:val="0C26D16B"/>
    <w:rsid w:val="0E8BB602"/>
    <w:rsid w:val="103BE172"/>
    <w:rsid w:val="107BE729"/>
    <w:rsid w:val="10C01394"/>
    <w:rsid w:val="1402CBFA"/>
    <w:rsid w:val="14748FF0"/>
    <w:rsid w:val="149A4BFC"/>
    <w:rsid w:val="15E0D8A6"/>
    <w:rsid w:val="173B9127"/>
    <w:rsid w:val="1BA97A7A"/>
    <w:rsid w:val="1F6B8902"/>
    <w:rsid w:val="20C42C8D"/>
    <w:rsid w:val="22FBDFAD"/>
    <w:rsid w:val="237A7773"/>
    <w:rsid w:val="243EFA25"/>
    <w:rsid w:val="2617A121"/>
    <w:rsid w:val="2622C06A"/>
    <w:rsid w:val="27769AE7"/>
    <w:rsid w:val="28D01971"/>
    <w:rsid w:val="29106D49"/>
    <w:rsid w:val="2BF7E0EB"/>
    <w:rsid w:val="2D6D9786"/>
    <w:rsid w:val="2E1E2C30"/>
    <w:rsid w:val="2E417256"/>
    <w:rsid w:val="2F2F81AD"/>
    <w:rsid w:val="3078794C"/>
    <w:rsid w:val="30D0977F"/>
    <w:rsid w:val="34B74419"/>
    <w:rsid w:val="37992076"/>
    <w:rsid w:val="39657B0C"/>
    <w:rsid w:val="3ED69ACB"/>
    <w:rsid w:val="3FE68FA8"/>
    <w:rsid w:val="40050A42"/>
    <w:rsid w:val="410002A4"/>
    <w:rsid w:val="4537949C"/>
    <w:rsid w:val="464FBC29"/>
    <w:rsid w:val="48887424"/>
    <w:rsid w:val="4908ADC0"/>
    <w:rsid w:val="4A0ED1A6"/>
    <w:rsid w:val="4A5DB7B9"/>
    <w:rsid w:val="4DD700B0"/>
    <w:rsid w:val="4EF12DB0"/>
    <w:rsid w:val="4F756195"/>
    <w:rsid w:val="517576AD"/>
    <w:rsid w:val="593538AF"/>
    <w:rsid w:val="5972A6F1"/>
    <w:rsid w:val="59981C8F"/>
    <w:rsid w:val="59DBE557"/>
    <w:rsid w:val="5BBA06C6"/>
    <w:rsid w:val="5D49AAD9"/>
    <w:rsid w:val="603D1841"/>
    <w:rsid w:val="614F7461"/>
    <w:rsid w:val="6268CE2B"/>
    <w:rsid w:val="62C2F298"/>
    <w:rsid w:val="632868F9"/>
    <w:rsid w:val="64B1E8FE"/>
    <w:rsid w:val="66CE58F1"/>
    <w:rsid w:val="672B5C51"/>
    <w:rsid w:val="678FF44D"/>
    <w:rsid w:val="67A55DC5"/>
    <w:rsid w:val="693E0143"/>
    <w:rsid w:val="6B71B05E"/>
    <w:rsid w:val="6CD3D71B"/>
    <w:rsid w:val="6D077C90"/>
    <w:rsid w:val="6F0F9A6E"/>
    <w:rsid w:val="6F6D5930"/>
    <w:rsid w:val="6F7DB07F"/>
    <w:rsid w:val="6F8E540A"/>
    <w:rsid w:val="7122B956"/>
    <w:rsid w:val="724F9D1B"/>
    <w:rsid w:val="76125EE7"/>
    <w:rsid w:val="77908771"/>
    <w:rsid w:val="7811973D"/>
    <w:rsid w:val="78E98BF2"/>
    <w:rsid w:val="7B2FDDCC"/>
    <w:rsid w:val="7BA7B7AC"/>
    <w:rsid w:val="7C21A6BD"/>
    <w:rsid w:val="7C5B80D2"/>
    <w:rsid w:val="7D4A1818"/>
    <w:rsid w:val="7D5C9B2C"/>
    <w:rsid w:val="7E8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8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08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5E75"/>
    <w:pPr>
      <w:ind w:left="720"/>
      <w:contextualSpacing/>
    </w:pPr>
  </w:style>
  <w:style w:type="paragraph" w:styleId="paragraph" w:customStyle="1">
    <w:name w:val="paragraph"/>
    <w:basedOn w:val="Normal"/>
    <w:rsid w:val="00CB662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CB6623"/>
  </w:style>
  <w:style w:type="character" w:styleId="apple-converted-space" w:customStyle="1">
    <w:name w:val="apple-converted-space"/>
    <w:basedOn w:val="DefaultParagraphFont"/>
    <w:rsid w:val="00CB6623"/>
  </w:style>
  <w:style w:type="character" w:styleId="eop" w:customStyle="1">
    <w:name w:val="eop"/>
    <w:basedOn w:val="DefaultParagraphFont"/>
    <w:rsid w:val="00C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imfox@nwba.org" TargetMode="External" Id="rId11" /><Relationship Type="http://schemas.openxmlformats.org/officeDocument/2006/relationships/styles" Target="styles.xml" Id="rId5" /><Relationship Type="http://schemas.openxmlformats.org/officeDocument/2006/relationships/hyperlink" Target="mailto:will@nwba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9/09/relationships/intelligence" Target="/word/intelligence.xml" Id="Re9b8dd00656e45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ee86bd5983a40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1BFBD1FA2148A311898415B33684" ma:contentTypeVersion="12" ma:contentTypeDescription="Create a new document." ma:contentTypeScope="" ma:versionID="660d329320856ef888fba678f5332ba7">
  <xsd:schema xmlns:xsd="http://www.w3.org/2001/XMLSchema" xmlns:xs="http://www.w3.org/2001/XMLSchema" xmlns:p="http://schemas.microsoft.com/office/2006/metadata/properties" xmlns:ns2="b0c3b971-7b84-4f5f-bda8-0482ef7e0750" xmlns:ns3="66858ffa-70a5-4c2b-915c-01b5c1b08004" targetNamespace="http://schemas.microsoft.com/office/2006/metadata/properties" ma:root="true" ma:fieldsID="9caf83336c2008b7bb5a9e14aef4cbbc" ns2:_="" ns3:_="">
    <xsd:import namespace="b0c3b971-7b84-4f5f-bda8-0482ef7e0750"/>
    <xsd:import namespace="66858ffa-70a5-4c2b-915c-01b5c1b08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3b971-7b84-4f5f-bda8-0482ef7e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ffa-70a5-4c2b-915c-01b5c1b08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DB5F1-74CD-4EF8-8708-398571496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6B8AD-A2C6-471F-9698-481968D26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1F61-D6F9-40F7-94B5-82EB19A7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3b971-7b84-4f5f-bda8-0482ef7e0750"/>
    <ds:schemaRef ds:uri="66858ffa-70a5-4c2b-915c-01b5c1b08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Will Waller</cp:lastModifiedBy>
  <cp:revision>4</cp:revision>
  <dcterms:created xsi:type="dcterms:W3CDTF">2021-04-26T02:24:00Z</dcterms:created>
  <dcterms:modified xsi:type="dcterms:W3CDTF">2021-04-26T03:14:05Z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0x01010016651BFBD1FA2148A311898415B33684</vt:lpwstr>
  </property>
</Properties>
</file>