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tl w:val="0"/>
        </w:rPr>
        <w:t>Policy Operation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Persons involved in BMLA must read and state acknowledgement of policies.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Players and coaches shall review policies and be educated in their intend for safe and fair play.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BMLA executive must in good faith up hold the intend or spirit of the policies.</w:t>
      </w:r>
    </w:p>
    <w:p>
      <w:pPr>
        <w:pStyle w:val="Body"/>
        <w:bidi w:val="0"/>
      </w:pPr>
      <w:r>
        <w:rPr>
          <w:rtl w:val="0"/>
        </w:rPr>
        <w:t>3)   BMLA executive must implement the policies when deemed necessary.</w:t>
      </w:r>
    </w:p>
    <w:p>
      <w:pPr>
        <w:pStyle w:val="Body"/>
        <w:bidi w:val="0"/>
      </w:pPr>
      <w:r>
        <w:rPr>
          <w:rtl w:val="0"/>
        </w:rPr>
        <w:t>4)   Policies must be reviewed yearly and adjusted if necessary by executive.</w:t>
      </w:r>
    </w:p>
    <w:p>
      <w:pPr>
        <w:pStyle w:val="Body"/>
        <w:bidi w:val="0"/>
      </w:pPr>
      <w:r>
        <w:rPr>
          <w:rtl w:val="0"/>
        </w:rPr>
        <w:t xml:space="preserve">5)   All sanctions will be based on case to case basis as BMLA executive see to fit the          </w:t>
      </w:r>
    </w:p>
    <w:p>
      <w:pPr>
        <w:pStyle w:val="Body"/>
        <w:bidi w:val="0"/>
      </w:pPr>
      <w:r>
        <w:rPr>
          <w:rtl w:val="0"/>
        </w:rPr>
        <w:t xml:space="preserve">      individual case.  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Lettered"/>
  </w:abstractNum>
  <w:abstractNum w:abstractNumId="1">
    <w:multiLevelType w:val="hybridMultilevel"/>
    <w:styleLink w:val="Lettered"/>
    <w:lvl w:ilvl="0">
      <w:start w:val="1"/>
      <w:numFmt w:val="decimal"/>
      <w:suff w:val="tab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Lettered">
    <w:name w:val="Lett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